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8C0A" w14:textId="77777777" w:rsidR="00C92E05" w:rsidRDefault="00C92E05" w:rsidP="00C92E05">
      <w:pPr>
        <w:jc w:val="center"/>
        <w:rPr>
          <w:b/>
          <w:bCs/>
          <w:sz w:val="28"/>
          <w:szCs w:val="28"/>
        </w:rPr>
      </w:pPr>
      <w:r w:rsidRPr="00C92E05">
        <w:rPr>
          <w:b/>
          <w:bCs/>
          <w:sz w:val="28"/>
          <w:szCs w:val="28"/>
        </w:rPr>
        <w:t xml:space="preserve">Burnout, Compassion Fatigue, and Moral Injury in Members of the </w:t>
      </w:r>
    </w:p>
    <w:p w14:paraId="261874EC" w14:textId="7675CDF1" w:rsidR="00FC7B57" w:rsidRPr="00C92E05" w:rsidRDefault="00C92E05" w:rsidP="00C92E05">
      <w:pPr>
        <w:jc w:val="center"/>
        <w:rPr>
          <w:b/>
          <w:bCs/>
          <w:sz w:val="28"/>
          <w:szCs w:val="28"/>
        </w:rPr>
      </w:pPr>
      <w:r w:rsidRPr="00C92E05">
        <w:rPr>
          <w:b/>
          <w:bCs/>
          <w:sz w:val="28"/>
          <w:szCs w:val="28"/>
        </w:rPr>
        <w:t>Perinatal Health Team</w:t>
      </w:r>
    </w:p>
    <w:p w14:paraId="2A9B7280" w14:textId="555C5844" w:rsidR="00C92E05" w:rsidRPr="00C92E05" w:rsidRDefault="00C92E05" w:rsidP="00C92E05">
      <w:pPr>
        <w:jc w:val="center"/>
        <w:rPr>
          <w:b/>
          <w:bCs/>
          <w:sz w:val="24"/>
          <w:szCs w:val="24"/>
        </w:rPr>
      </w:pPr>
      <w:r w:rsidRPr="00C92E05">
        <w:rPr>
          <w:b/>
          <w:bCs/>
          <w:sz w:val="24"/>
          <w:szCs w:val="24"/>
        </w:rPr>
        <w:t>Kathleen Kendall-Tackett, PhD, IBCLC, FAPA</w:t>
      </w:r>
    </w:p>
    <w:p w14:paraId="3755ED1A" w14:textId="328B2E48" w:rsidR="00C92E05" w:rsidRDefault="00C92E05" w:rsidP="00C92E05">
      <w:pPr>
        <w:rPr>
          <w:bCs/>
        </w:rPr>
      </w:pPr>
      <w:r>
        <w:rPr>
          <w:bCs/>
        </w:rPr>
        <w:t>Working in perinatal care can be deeply rewarding. It can also lead to job-related burnout, secondary traumatic stress, and moral injury. Secondary traumatic stress (compassion fatigue), or moral injury, can occur when witnessing traumatic events in the workplace.  This can occur when witnessing infant death or traumatic births, or when there is too much work, or work that doesn’t seem to make a difference, and little institutional support. Unfortunately, this is remarkably common among caregivers for perinatal women. Burnout, compassion fatigue, and moral injury can lead to physical and mental health sequelae for care providers and have a negative effect on the care they provider. Self-care is essential for being able to provide care to others. In this presentation, participants will learn about the causes and consequences of burnout, compassion fatigue, and moral injury. Fortunately, there is hope for recovery. Participants will learn some specific strategies for integrating self-care into their care for others.</w:t>
      </w:r>
    </w:p>
    <w:p w14:paraId="207B410C" w14:textId="337B2860" w:rsidR="00C92E05" w:rsidRDefault="00C92E05" w:rsidP="00C92E05">
      <w:pPr>
        <w:rPr>
          <w:bCs/>
        </w:rPr>
      </w:pPr>
    </w:p>
    <w:p w14:paraId="16C8BB80" w14:textId="193EE503" w:rsidR="00C92E05" w:rsidRPr="00C92E05" w:rsidRDefault="00C92E05" w:rsidP="00C92E05">
      <w:pPr>
        <w:rPr>
          <w:b/>
          <w:sz w:val="24"/>
          <w:szCs w:val="24"/>
        </w:rPr>
      </w:pPr>
      <w:r w:rsidRPr="00C92E05">
        <w:rPr>
          <w:b/>
          <w:sz w:val="24"/>
          <w:szCs w:val="24"/>
        </w:rPr>
        <w:t>Objectives</w:t>
      </w:r>
    </w:p>
    <w:tbl>
      <w:tblPr>
        <w:tblStyle w:val="TableGrid"/>
        <w:tblW w:w="8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6"/>
      </w:tblGrid>
      <w:tr w:rsidR="00C92E05" w:rsidRPr="009065C2" w14:paraId="7858F9CB" w14:textId="77777777" w:rsidTr="00C92E05">
        <w:trPr>
          <w:trHeight w:val="381"/>
        </w:trPr>
        <w:tc>
          <w:tcPr>
            <w:tcW w:w="8446" w:type="dxa"/>
          </w:tcPr>
          <w:p w14:paraId="5838065D" w14:textId="77777777" w:rsidR="00C92E05" w:rsidRPr="00C92E05" w:rsidRDefault="00C92E05" w:rsidP="00C92E05">
            <w:pPr>
              <w:pStyle w:val="ListParagraph"/>
              <w:numPr>
                <w:ilvl w:val="0"/>
                <w:numId w:val="1"/>
              </w:numPr>
              <w:spacing w:after="0" w:line="240" w:lineRule="auto"/>
            </w:pPr>
            <w:r w:rsidRPr="00C92E05">
              <w:t>To understand the causes of burnout for perinatal care providers</w:t>
            </w:r>
          </w:p>
        </w:tc>
      </w:tr>
      <w:tr w:rsidR="00C92E05" w:rsidRPr="009065C2" w14:paraId="60DA1867" w14:textId="77777777" w:rsidTr="00C92E05">
        <w:trPr>
          <w:trHeight w:val="371"/>
        </w:trPr>
        <w:tc>
          <w:tcPr>
            <w:tcW w:w="8446" w:type="dxa"/>
          </w:tcPr>
          <w:p w14:paraId="0873E30D" w14:textId="03F96920" w:rsidR="00C92E05" w:rsidRPr="00C92E05" w:rsidRDefault="00C92E05" w:rsidP="00C92E05">
            <w:pPr>
              <w:pStyle w:val="ListParagraph"/>
              <w:numPr>
                <w:ilvl w:val="0"/>
                <w:numId w:val="3"/>
              </w:numPr>
              <w:spacing w:after="0" w:line="240" w:lineRule="auto"/>
            </w:pPr>
            <w:r w:rsidRPr="00C92E05">
              <w:t>To understand the causes of compassion fatigue and secondary traumatic stress is perinatal care providers</w:t>
            </w:r>
          </w:p>
        </w:tc>
      </w:tr>
      <w:tr w:rsidR="00C92E05" w:rsidRPr="009065C2" w14:paraId="1F16A7EB" w14:textId="77777777" w:rsidTr="00C92E05">
        <w:trPr>
          <w:trHeight w:val="381"/>
        </w:trPr>
        <w:tc>
          <w:tcPr>
            <w:tcW w:w="8446" w:type="dxa"/>
          </w:tcPr>
          <w:p w14:paraId="29E7077A" w14:textId="77777777" w:rsidR="00C92E05" w:rsidRPr="00C92E05" w:rsidRDefault="00C92E05" w:rsidP="00C92E05">
            <w:pPr>
              <w:pStyle w:val="ListParagraph"/>
              <w:numPr>
                <w:ilvl w:val="0"/>
                <w:numId w:val="3"/>
              </w:numPr>
              <w:spacing w:after="0" w:line="240" w:lineRule="auto"/>
            </w:pPr>
            <w:r w:rsidRPr="00C92E05">
              <w:t>To understand posttraumatic growth</w:t>
            </w:r>
          </w:p>
        </w:tc>
      </w:tr>
      <w:tr w:rsidR="00C92E05" w:rsidRPr="00D4135D" w14:paraId="53CFD2B8" w14:textId="77777777" w:rsidTr="00C92E05">
        <w:trPr>
          <w:trHeight w:val="381"/>
        </w:trPr>
        <w:tc>
          <w:tcPr>
            <w:tcW w:w="8446" w:type="dxa"/>
          </w:tcPr>
          <w:p w14:paraId="4334989F" w14:textId="77777777" w:rsidR="00C92E05" w:rsidRPr="00C92E05" w:rsidRDefault="00C92E05" w:rsidP="00C92E05">
            <w:pPr>
              <w:pStyle w:val="ListParagraph"/>
              <w:numPr>
                <w:ilvl w:val="0"/>
                <w:numId w:val="3"/>
              </w:numPr>
              <w:spacing w:after="0" w:line="240" w:lineRule="auto"/>
            </w:pPr>
            <w:r w:rsidRPr="00C92E05">
              <w:t>To describe steps to recovery from burnout and secondary traumatic stress/compassion fatigue</w:t>
            </w:r>
          </w:p>
        </w:tc>
      </w:tr>
    </w:tbl>
    <w:p w14:paraId="6405DDEF" w14:textId="77777777" w:rsidR="00C92E05" w:rsidRDefault="00C92E05" w:rsidP="00C92E05">
      <w:pPr>
        <w:rPr>
          <w:bCs/>
        </w:rPr>
      </w:pPr>
    </w:p>
    <w:p w14:paraId="1CE472C4" w14:textId="0BFBE141" w:rsidR="00C92E05" w:rsidRDefault="00C92E05" w:rsidP="00C92E05">
      <w:pPr>
        <w:rPr>
          <w:b/>
          <w:sz w:val="24"/>
          <w:szCs w:val="24"/>
        </w:rPr>
      </w:pPr>
      <w:r w:rsidRPr="00C92E05">
        <w:rPr>
          <w:b/>
          <w:sz w:val="24"/>
          <w:szCs w:val="24"/>
        </w:rPr>
        <w:t>Outline</w:t>
      </w:r>
    </w:p>
    <w:tbl>
      <w:tblPr>
        <w:tblStyle w:val="TableGrid"/>
        <w:tblW w:w="11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7"/>
      </w:tblGrid>
      <w:tr w:rsidR="00C92E05" w:rsidRPr="009065C2" w14:paraId="4D83AF98" w14:textId="77777777" w:rsidTr="00C92E05">
        <w:tc>
          <w:tcPr>
            <w:tcW w:w="5367" w:type="dxa"/>
          </w:tcPr>
          <w:p w14:paraId="7861B3F4" w14:textId="4E22EC34" w:rsidR="00C92E05" w:rsidRPr="007F15FB" w:rsidRDefault="00C92E05" w:rsidP="00C92E05">
            <w:pPr>
              <w:pStyle w:val="ListParagraph"/>
              <w:numPr>
                <w:ilvl w:val="0"/>
                <w:numId w:val="2"/>
              </w:numPr>
              <w:spacing w:after="0" w:line="240" w:lineRule="auto"/>
            </w:pPr>
            <w:r w:rsidRPr="007F15FB">
              <w:t>Causes of burnout</w:t>
            </w:r>
          </w:p>
          <w:p w14:paraId="5741A315" w14:textId="77777777" w:rsidR="00C92E05" w:rsidRPr="007F15FB" w:rsidRDefault="00C92E05" w:rsidP="00C92E05">
            <w:pPr>
              <w:pStyle w:val="ListParagraph"/>
              <w:numPr>
                <w:ilvl w:val="1"/>
                <w:numId w:val="2"/>
              </w:numPr>
              <w:spacing w:after="0" w:line="240" w:lineRule="auto"/>
            </w:pPr>
            <w:r w:rsidRPr="007F15FB">
              <w:t>Workplace factors</w:t>
            </w:r>
          </w:p>
          <w:p w14:paraId="0C1A37D2" w14:textId="77777777" w:rsidR="00C92E05" w:rsidRPr="007F15FB" w:rsidRDefault="00C92E05" w:rsidP="00C92E05">
            <w:pPr>
              <w:pStyle w:val="ListParagraph"/>
              <w:numPr>
                <w:ilvl w:val="1"/>
                <w:numId w:val="2"/>
              </w:numPr>
              <w:spacing w:after="0" w:line="240" w:lineRule="auto"/>
            </w:pPr>
            <w:r w:rsidRPr="007F15FB">
              <w:t>Lifestyle factors</w:t>
            </w:r>
          </w:p>
          <w:p w14:paraId="64DC28F0" w14:textId="77777777" w:rsidR="00C92E05" w:rsidRPr="007F15FB" w:rsidRDefault="00C92E05" w:rsidP="00C92E05">
            <w:pPr>
              <w:pStyle w:val="ListParagraph"/>
              <w:numPr>
                <w:ilvl w:val="1"/>
                <w:numId w:val="2"/>
              </w:numPr>
              <w:spacing w:after="0" w:line="240" w:lineRule="auto"/>
            </w:pPr>
            <w:r w:rsidRPr="007F15FB">
              <w:t>Personality characteristics</w:t>
            </w:r>
          </w:p>
          <w:p w14:paraId="4C17767C" w14:textId="77777777" w:rsidR="00C92E05" w:rsidRPr="007F15FB" w:rsidRDefault="00C92E05" w:rsidP="00C92E05">
            <w:pPr>
              <w:pStyle w:val="ListParagraph"/>
              <w:numPr>
                <w:ilvl w:val="1"/>
                <w:numId w:val="2"/>
              </w:numPr>
              <w:spacing w:after="0" w:line="240" w:lineRule="auto"/>
            </w:pPr>
            <w:r w:rsidRPr="007F15FB">
              <w:t>Unhealthy helping</w:t>
            </w:r>
          </w:p>
          <w:p w14:paraId="6D1B5B1F" w14:textId="6E5849E3" w:rsidR="00C92E05" w:rsidRPr="007F15FB" w:rsidRDefault="00C92E05" w:rsidP="00C92E05">
            <w:pPr>
              <w:pStyle w:val="ListParagraph"/>
              <w:spacing w:after="0" w:line="240" w:lineRule="auto"/>
              <w:ind w:left="1440"/>
            </w:pPr>
          </w:p>
        </w:tc>
      </w:tr>
      <w:tr w:rsidR="00C92E05" w:rsidRPr="009065C2" w14:paraId="5B0BAC40" w14:textId="77777777" w:rsidTr="00C92E05">
        <w:tc>
          <w:tcPr>
            <w:tcW w:w="5367" w:type="dxa"/>
          </w:tcPr>
          <w:p w14:paraId="4FF43375" w14:textId="34EF123B" w:rsidR="00C92E05" w:rsidRPr="007F15FB" w:rsidRDefault="00C92E05" w:rsidP="00C92E05">
            <w:pPr>
              <w:pStyle w:val="ListParagraph"/>
              <w:numPr>
                <w:ilvl w:val="2"/>
                <w:numId w:val="2"/>
              </w:numPr>
              <w:spacing w:after="0" w:line="240" w:lineRule="auto"/>
              <w:ind w:left="704"/>
            </w:pPr>
            <w:r w:rsidRPr="007F15FB">
              <w:t>Overview of secondary traumatic stress</w:t>
            </w:r>
            <w:r w:rsidRPr="007F15FB">
              <w:t xml:space="preserve"> and moral injury</w:t>
            </w:r>
          </w:p>
          <w:p w14:paraId="6666F627" w14:textId="77777777" w:rsidR="00C92E05" w:rsidRPr="007F15FB" w:rsidRDefault="00C92E05" w:rsidP="00C92E05">
            <w:pPr>
              <w:pStyle w:val="ListParagraph"/>
              <w:numPr>
                <w:ilvl w:val="1"/>
                <w:numId w:val="3"/>
              </w:numPr>
              <w:spacing w:after="0" w:line="240" w:lineRule="auto"/>
            </w:pPr>
            <w:r w:rsidRPr="007F15FB">
              <w:t>How it differs from burnout</w:t>
            </w:r>
          </w:p>
          <w:p w14:paraId="16FE3087" w14:textId="77777777" w:rsidR="00C92E05" w:rsidRPr="007F15FB" w:rsidRDefault="00C92E05" w:rsidP="00C92E05">
            <w:pPr>
              <w:pStyle w:val="ListParagraph"/>
              <w:numPr>
                <w:ilvl w:val="1"/>
                <w:numId w:val="3"/>
              </w:numPr>
              <w:spacing w:after="0" w:line="240" w:lineRule="auto"/>
            </w:pPr>
            <w:r w:rsidRPr="007F15FB">
              <w:t>DSM-V PTSD diagnostic criteria</w:t>
            </w:r>
          </w:p>
          <w:p w14:paraId="30987646" w14:textId="77777777" w:rsidR="00C92E05" w:rsidRPr="007F15FB" w:rsidRDefault="00C92E05" w:rsidP="00C92E05">
            <w:pPr>
              <w:pStyle w:val="ListParagraph"/>
              <w:numPr>
                <w:ilvl w:val="1"/>
                <w:numId w:val="3"/>
              </w:numPr>
              <w:spacing w:after="0" w:line="240" w:lineRule="auto"/>
            </w:pPr>
            <w:r w:rsidRPr="007F15FB">
              <w:t>Workplace causes from witnessing traumatic events</w:t>
            </w:r>
          </w:p>
          <w:p w14:paraId="63FE1CFD" w14:textId="77777777" w:rsidR="00C92E05" w:rsidRPr="007F15FB" w:rsidRDefault="00C92E05" w:rsidP="00C92E05">
            <w:pPr>
              <w:pStyle w:val="ListParagraph"/>
              <w:numPr>
                <w:ilvl w:val="2"/>
                <w:numId w:val="3"/>
              </w:numPr>
              <w:spacing w:after="0" w:line="240" w:lineRule="auto"/>
            </w:pPr>
            <w:r w:rsidRPr="007F15FB">
              <w:t>Traumatic births</w:t>
            </w:r>
          </w:p>
          <w:p w14:paraId="26AB13A4" w14:textId="77777777" w:rsidR="00C92E05" w:rsidRPr="007F15FB" w:rsidRDefault="00C92E05" w:rsidP="00C92E05">
            <w:pPr>
              <w:pStyle w:val="ListParagraph"/>
              <w:numPr>
                <w:ilvl w:val="2"/>
                <w:numId w:val="3"/>
              </w:numPr>
              <w:spacing w:after="0" w:line="240" w:lineRule="auto"/>
            </w:pPr>
            <w:r w:rsidRPr="007F15FB">
              <w:t>Witnessing death/grieving</w:t>
            </w:r>
          </w:p>
          <w:p w14:paraId="783EAD10" w14:textId="77777777" w:rsidR="00C92E05" w:rsidRPr="007F15FB" w:rsidRDefault="00C92E05" w:rsidP="00C92E05">
            <w:pPr>
              <w:pStyle w:val="ListParagraph"/>
              <w:numPr>
                <w:ilvl w:val="2"/>
                <w:numId w:val="3"/>
              </w:numPr>
              <w:spacing w:after="0" w:line="240" w:lineRule="auto"/>
            </w:pPr>
            <w:r w:rsidRPr="007F15FB">
              <w:t>Lack of workplace support</w:t>
            </w:r>
          </w:p>
          <w:p w14:paraId="0C1D4C7A" w14:textId="740BA2AE" w:rsidR="000B7316" w:rsidRPr="007F15FB" w:rsidRDefault="000B7316" w:rsidP="00C92E05">
            <w:pPr>
              <w:pStyle w:val="ListParagraph"/>
              <w:numPr>
                <w:ilvl w:val="2"/>
                <w:numId w:val="3"/>
              </w:numPr>
              <w:spacing w:after="0" w:line="240" w:lineRule="auto"/>
            </w:pPr>
            <w:r w:rsidRPr="007F15FB">
              <w:t>Participating in wrong behavior</w:t>
            </w:r>
          </w:p>
        </w:tc>
      </w:tr>
      <w:tr w:rsidR="00C92E05" w:rsidRPr="009065C2" w14:paraId="2FE3FBFB" w14:textId="77777777" w:rsidTr="00C92E05">
        <w:tc>
          <w:tcPr>
            <w:tcW w:w="5367" w:type="dxa"/>
          </w:tcPr>
          <w:p w14:paraId="5D8419F0" w14:textId="6A971C60" w:rsidR="00C92E05" w:rsidRPr="007F15FB" w:rsidRDefault="00C92E05" w:rsidP="00C92E05">
            <w:pPr>
              <w:pStyle w:val="ListParagraph"/>
              <w:spacing w:after="0" w:line="240" w:lineRule="auto"/>
              <w:ind w:left="1440"/>
            </w:pPr>
          </w:p>
        </w:tc>
      </w:tr>
      <w:tr w:rsidR="00C92E05" w:rsidRPr="00D4135D" w14:paraId="785D1C42" w14:textId="77777777" w:rsidTr="00C92E05">
        <w:tc>
          <w:tcPr>
            <w:tcW w:w="5367" w:type="dxa"/>
          </w:tcPr>
          <w:p w14:paraId="5846A652" w14:textId="0F6938CA" w:rsidR="00C92E05" w:rsidRPr="007F15FB" w:rsidRDefault="000B7316" w:rsidP="007F15FB">
            <w:pPr>
              <w:ind w:left="344"/>
            </w:pPr>
            <w:bookmarkStart w:id="0" w:name="_GoBack"/>
            <w:bookmarkEnd w:id="0"/>
            <w:r w:rsidRPr="007F15FB">
              <w:t>3</w:t>
            </w:r>
            <w:r w:rsidR="00C92E05" w:rsidRPr="007F15FB">
              <w:t>. Recovering from burnout</w:t>
            </w:r>
            <w:r w:rsidR="007F15FB" w:rsidRPr="007F15FB">
              <w:t xml:space="preserve">, </w:t>
            </w:r>
            <w:r w:rsidR="00C92E05" w:rsidRPr="007F15FB">
              <w:t>compassion fatigue</w:t>
            </w:r>
            <w:r w:rsidR="007F15FB" w:rsidRPr="007F15FB">
              <w:t>, and moral injury</w:t>
            </w:r>
          </w:p>
          <w:p w14:paraId="29678556" w14:textId="13143A0A" w:rsidR="00C92E05" w:rsidRPr="007F15FB" w:rsidRDefault="00C92E05" w:rsidP="000B7316">
            <w:pPr>
              <w:pStyle w:val="ListParagraph"/>
              <w:numPr>
                <w:ilvl w:val="0"/>
                <w:numId w:val="4"/>
              </w:numPr>
              <w:spacing w:after="0" w:line="240" w:lineRule="auto"/>
            </w:pPr>
            <w:r w:rsidRPr="007F15FB">
              <w:t>First do no harm to yourself in the line of duty</w:t>
            </w:r>
          </w:p>
          <w:p w14:paraId="0372FD27" w14:textId="1C9637B9" w:rsidR="00C92E05" w:rsidRPr="007F15FB" w:rsidRDefault="00C92E05" w:rsidP="000B7316">
            <w:pPr>
              <w:pStyle w:val="ListParagraph"/>
              <w:numPr>
                <w:ilvl w:val="0"/>
                <w:numId w:val="4"/>
              </w:numPr>
              <w:spacing w:after="0" w:line="240" w:lineRule="auto"/>
            </w:pPr>
            <w:r w:rsidRPr="007F15FB">
              <w:lastRenderedPageBreak/>
              <w:t>Practice self-care to ensure delivery of high-quality care</w:t>
            </w:r>
          </w:p>
          <w:p w14:paraId="112BB8D7" w14:textId="77777777" w:rsidR="000B7316" w:rsidRPr="007F15FB" w:rsidRDefault="00C92E05" w:rsidP="000B7316">
            <w:pPr>
              <w:pStyle w:val="ListParagraph"/>
              <w:numPr>
                <w:ilvl w:val="0"/>
                <w:numId w:val="4"/>
              </w:numPr>
              <w:spacing w:after="0" w:line="240" w:lineRule="auto"/>
            </w:pPr>
            <w:r w:rsidRPr="007F15FB">
              <w:t>Physical, psychological, emotional and spiritual self-care</w:t>
            </w:r>
          </w:p>
          <w:p w14:paraId="0D11A113" w14:textId="2E9E7CEF" w:rsidR="00C92E05" w:rsidRPr="007F15FB" w:rsidRDefault="00C92E05" w:rsidP="000B7316">
            <w:pPr>
              <w:pStyle w:val="ListParagraph"/>
              <w:numPr>
                <w:ilvl w:val="0"/>
                <w:numId w:val="4"/>
              </w:numPr>
              <w:spacing w:after="0" w:line="240" w:lineRule="auto"/>
            </w:pPr>
            <w:r w:rsidRPr="007F15FB">
              <w:t>Commitment to self-care</w:t>
            </w:r>
          </w:p>
        </w:tc>
      </w:tr>
      <w:tr w:rsidR="000B7316" w:rsidRPr="00D4135D" w14:paraId="189CC315" w14:textId="77777777" w:rsidTr="00C92E05">
        <w:tc>
          <w:tcPr>
            <w:tcW w:w="5367" w:type="dxa"/>
          </w:tcPr>
          <w:p w14:paraId="23BCAF46" w14:textId="77777777" w:rsidR="000B7316" w:rsidRDefault="000B7316" w:rsidP="000B7316">
            <w:pPr>
              <w:ind w:left="344"/>
              <w:rPr>
                <w:b/>
                <w:bCs/>
              </w:rPr>
            </w:pPr>
          </w:p>
        </w:tc>
      </w:tr>
    </w:tbl>
    <w:p w14:paraId="58FD2193" w14:textId="77777777" w:rsidR="00C92E05" w:rsidRPr="00C92E05" w:rsidRDefault="00C92E05" w:rsidP="00C92E05">
      <w:pPr>
        <w:rPr>
          <w:b/>
          <w:sz w:val="24"/>
          <w:szCs w:val="24"/>
        </w:rPr>
      </w:pPr>
    </w:p>
    <w:p w14:paraId="488432B3" w14:textId="77777777" w:rsidR="00C92E05" w:rsidRPr="00A731A6" w:rsidRDefault="00C92E05" w:rsidP="00C92E05"/>
    <w:p w14:paraId="52B2FB0C" w14:textId="77777777" w:rsidR="00C92E05" w:rsidRDefault="00C92E05"/>
    <w:sectPr w:rsidR="00C92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5F2"/>
    <w:multiLevelType w:val="hybridMultilevel"/>
    <w:tmpl w:val="108069FC"/>
    <w:lvl w:ilvl="0" w:tplc="DC8C853E">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399B"/>
    <w:multiLevelType w:val="hybridMultilevel"/>
    <w:tmpl w:val="14E01D64"/>
    <w:lvl w:ilvl="0" w:tplc="C7548D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730AA3"/>
    <w:multiLevelType w:val="hybridMultilevel"/>
    <w:tmpl w:val="3BDEFC0A"/>
    <w:lvl w:ilvl="0" w:tplc="60CE5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E3AE9"/>
    <w:multiLevelType w:val="hybridMultilevel"/>
    <w:tmpl w:val="A5344FD4"/>
    <w:lvl w:ilvl="0" w:tplc="AC303D66">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CB6EF92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NzE1szAzNzIyNTFW0lEKTi0uzszPAykwrAUAqiYZESwAAAA="/>
  </w:docVars>
  <w:rsids>
    <w:rsidRoot w:val="00C92E05"/>
    <w:rsid w:val="000B7316"/>
    <w:rsid w:val="0049732A"/>
    <w:rsid w:val="005F03E0"/>
    <w:rsid w:val="007B2E20"/>
    <w:rsid w:val="007F15FB"/>
    <w:rsid w:val="00A002E7"/>
    <w:rsid w:val="00C9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308E"/>
  <w15:chartTrackingRefBased/>
  <w15:docId w15:val="{1B98E3C5-64A8-481A-A9A4-75A4629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E05"/>
    <w:pPr>
      <w:spacing w:after="200" w:line="276" w:lineRule="auto"/>
      <w:ind w:left="720"/>
      <w:contextualSpacing/>
    </w:pPr>
  </w:style>
  <w:style w:type="table" w:styleId="TableGrid">
    <w:name w:val="Table Grid"/>
    <w:basedOn w:val="TableNormal"/>
    <w:uiPriority w:val="59"/>
    <w:rsid w:val="00C9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2019-06-17T19:49:00Z</dcterms:created>
  <dcterms:modified xsi:type="dcterms:W3CDTF">2019-06-17T20:33:00Z</dcterms:modified>
</cp:coreProperties>
</file>